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0" w:firstLineChars="0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6"/>
          <w:szCs w:val="36"/>
        </w:rPr>
        <w:t>南通大学绩效工资扣发管理若干规定</w:t>
      </w:r>
    </w:p>
    <w:p>
      <w:pPr>
        <w:ind w:firstLine="0" w:firstLineChars="0"/>
        <w:jc w:val="center"/>
        <w:rPr>
          <w:rFonts w:hint="eastAsia" w:asciiTheme="majorEastAsia" w:hAnsiTheme="majorEastAsia" w:eastAsiaTheme="majorEastAsia" w:cstheme="majorEastAsia"/>
          <w:bCs/>
          <w:sz w:val="36"/>
          <w:szCs w:val="36"/>
        </w:rPr>
      </w:pPr>
    </w:p>
    <w:p>
      <w:pPr>
        <w:spacing w:line="240" w:lineRule="auto"/>
        <w:ind w:firstLine="720" w:firstLineChars="200"/>
        <w:jc w:val="center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一、基础性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绩效工资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在职人员被停职审查期间，生活补贴按原标准发放，岗位津贴暂停发放。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年度考核结果为基本合格或不合格人员，岗位津贴从年度考核结果审核备案的次月起，基本合格人员停发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个月，不合格人员停发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个月；生活补贴按原标准发放。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病假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天以内（含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天）、事假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天以内（含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天）的，岗位津贴以法定计薪日为基准，按日扣除；病假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天以上、事假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天以上人员，扣发当月岗位津贴；长病假人员的岗位津贴纳入病假工资计发基数，生活补贴按原标准发放。</w:t>
      </w:r>
    </w:p>
    <w:p>
      <w:pPr>
        <w:spacing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旷工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天以内的（含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天），扣发当月的岗位津贴；旷工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天以上的，扣发当月全额基础性绩效工资。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因患癌症、精神病等未参加年度考核的在职人员，原则上予以照顾，不影响基础性绩效工资的正常发放和调整。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在职人员按照国家有关规定享受探亲假、产假、年休假、婚丧假等假期待遇的，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在规定休假期间基础性绩效工资的发放不受影响。</w:t>
      </w:r>
    </w:p>
    <w:p>
      <w:pPr>
        <w:spacing w:line="24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二、奖励性绩效工资</w:t>
      </w:r>
    </w:p>
    <w:p>
      <w:pPr>
        <w:spacing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病假、事假等休假情况，按照基础性绩效工资相关扣发办法执行，长病假人员的奖励性绩效工资原则上不予发放。其中，重症病人（癌症、中风、瘫痪及其它重症导致生活不能自理者）及精神残疾人员（持有残疾证）病假期间，在参照国家有关规定的基础上酌情予以照顾：由学校按其本人级档岗位奖励津贴标准额的30%发放生活补贴，平时发20%，年终发10%。</w:t>
      </w:r>
    </w:p>
    <w:p>
      <w:pPr>
        <w:spacing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每旷工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天，扣发全年岗位和业绩奖励津贴的</w:t>
      </w:r>
      <w:r>
        <w:rPr>
          <w:rFonts w:ascii="仿宋" w:hAnsi="仿宋" w:eastAsia="仿宋" w:cs="仿宋"/>
          <w:sz w:val="32"/>
          <w:szCs w:val="32"/>
        </w:rPr>
        <w:t>5%</w:t>
      </w:r>
      <w:r>
        <w:rPr>
          <w:rFonts w:hint="eastAsia" w:ascii="仿宋" w:hAnsi="仿宋" w:eastAsia="仿宋" w:cs="仿宋"/>
          <w:sz w:val="32"/>
          <w:szCs w:val="32"/>
        </w:rPr>
        <w:t>；全年累计旷工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天的，扣发全年岗位奖励津贴。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受各类批评、处分人员扣发相应的全年岗位奖励津贴：受通报批评的人员，扣发5%；受行政警告、党内警告处分的人员，扣发20%；受行政记过、党内严重警告处分的人员，扣发50%；降低岗位等级或者撤职、撤销党内职务及其以上的人员，扣发80%，次年按新岗位确定岗位奖励津贴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4.被公安机关拘留者按天数参照旷工标准执行；被司法部门批准逮捕的犯罪嫌疑人，停发其岗位奖励津贴；在职人员被停职审查期间，岗位奖励津贴暂停发放。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5.Ⅲ、Ⅱ、Ⅰ级教学事故责任人，分别扣发全年岗位奖励津贴的</w:t>
      </w:r>
      <w:r>
        <w:rPr>
          <w:rFonts w:ascii="仿宋" w:hAnsi="仿宋" w:eastAsia="仿宋" w:cs="仿宋"/>
          <w:sz w:val="32"/>
          <w:szCs w:val="32"/>
        </w:rPr>
        <w:t>10%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20%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50%</w:t>
      </w:r>
      <w:r>
        <w:rPr>
          <w:rFonts w:hint="eastAsia" w:ascii="仿宋" w:hAnsi="仿宋" w:eastAsia="仿宋" w:cs="仿宋"/>
          <w:sz w:val="32"/>
          <w:szCs w:val="32"/>
        </w:rPr>
        <w:t>。若同时受到处分且处分扣发标准高于以上标准的，按处分标准扣发。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6.拒绝接受工作安排者，停发其岗位奖励津贴至接受工作安排之月。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7.待聘人员在待聘期间停发其岗位奖励津贴。</w:t>
      </w:r>
    </w:p>
    <w:p>
      <w:pPr>
        <w:spacing w:line="24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业绩奖励津贴扣发办法由各二级单位结合实际，自行制定，列入本单位奖励性绩效工资实施细则。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0DDC"/>
    <w:rsid w:val="016B5052"/>
    <w:rsid w:val="197936E9"/>
    <w:rsid w:val="1A1C3577"/>
    <w:rsid w:val="44E94518"/>
    <w:rsid w:val="5F0F0DDC"/>
    <w:rsid w:val="615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2019-02-28T03:28:00Z</dcterms:created>
  <dc:creator>张露</dc:creator>
  <cp:lastModifiedBy>张露</cp:lastModifiedBy>
  <dcterms:modified xsi:type="dcterms:W3CDTF">2019-02-28T08:01:18Z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